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D" w:rsidRDefault="00782DAD" w:rsidP="00782DA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Allegato n. </w:t>
      </w:r>
      <w:bookmarkStart w:id="0" w:name="_GoBack"/>
      <w:bookmarkEnd w:id="0"/>
      <w:r>
        <w:rPr>
          <w:b/>
          <w:smallCaps/>
          <w:sz w:val="32"/>
          <w:szCs w:val="32"/>
        </w:rPr>
        <w:t xml:space="preserve">2 al PTPC </w:t>
      </w:r>
      <w:r w:rsidRPr="00077E1E">
        <w:rPr>
          <w:b/>
          <w:smallCaps/>
          <w:sz w:val="32"/>
          <w:szCs w:val="32"/>
        </w:rPr>
        <w:t xml:space="preserve"> </w:t>
      </w:r>
      <w:r w:rsidR="00925208">
        <w:rPr>
          <w:b/>
          <w:smallCaps/>
          <w:sz w:val="32"/>
          <w:szCs w:val="32"/>
        </w:rPr>
        <w:t>2020 – 2022</w:t>
      </w:r>
      <w:r>
        <w:rPr>
          <w:b/>
          <w:smallCaps/>
          <w:sz w:val="32"/>
          <w:szCs w:val="32"/>
        </w:rPr>
        <w:t xml:space="preserve"> DE</w:t>
      </w:r>
      <w:r w:rsidR="00061A46">
        <w:rPr>
          <w:b/>
          <w:smallCaps/>
          <w:sz w:val="32"/>
          <w:szCs w:val="32"/>
        </w:rPr>
        <w:t>L</w:t>
      </w:r>
      <w:r>
        <w:rPr>
          <w:b/>
          <w:smallCaps/>
          <w:sz w:val="32"/>
          <w:szCs w:val="32"/>
        </w:rPr>
        <w:t>L’Ordine degli ingegneri della provincia di Ferrara</w:t>
      </w:r>
    </w:p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Pr="006E4855" w:rsidRDefault="008332AE" w:rsidP="006E4855">
            <w:pPr>
              <w:jc w:val="center"/>
              <w:rPr>
                <w:b/>
              </w:rPr>
            </w:pPr>
            <w:r w:rsidRPr="006E4855">
              <w:rPr>
                <w:b/>
              </w:rPr>
              <w:t>Livello di rischio attribuito (ponderazione</w:t>
            </w:r>
            <w:r w:rsidR="00B745E7" w:rsidRPr="006E4855">
              <w:rPr>
                <w:b/>
              </w:rPr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E4855" w:rsidRDefault="008332AE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EF217B">
            <w:pPr>
              <w:pStyle w:val="Paragrafoelenco"/>
              <w:ind w:left="175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 w:rsidP="00B00F57">
            <w:pPr>
              <w:jc w:val="both"/>
            </w:pPr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6E4855" w:rsidRDefault="007251E0" w:rsidP="006E4855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8332AE" w:rsidRDefault="008332AE" w:rsidP="00EF217B">
            <w:pPr>
              <w:pStyle w:val="Paragrafoelenco"/>
              <w:ind w:left="0" w:right="176"/>
              <w:jc w:val="both"/>
            </w:pPr>
          </w:p>
        </w:tc>
      </w:tr>
      <w:tr w:rsidR="00782DAD" w:rsidTr="00E004C4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782DAD" w:rsidRDefault="00782DAD" w:rsidP="00E004C4"/>
        </w:tc>
        <w:tc>
          <w:tcPr>
            <w:tcW w:w="3402" w:type="dxa"/>
          </w:tcPr>
          <w:p w:rsidR="00782DAD" w:rsidRDefault="00782DAD" w:rsidP="00B00F57">
            <w:pPr>
              <w:jc w:val="both"/>
            </w:pPr>
            <w:r w:rsidRPr="00423A6C">
              <w:t>Comportamento discrezionale della Commissione</w:t>
            </w:r>
            <w:r>
              <w:t xml:space="preserve"> nei procedimenti di </w:t>
            </w:r>
            <w:r w:rsidR="00EF217B">
              <w:t>a</w:t>
            </w:r>
            <w:r w:rsidRPr="00423A6C">
              <w:t>pprovazione graduatoria di concorso relativa alle procedure di selezione</w:t>
            </w:r>
          </w:p>
        </w:tc>
        <w:tc>
          <w:tcPr>
            <w:tcW w:w="1843" w:type="dxa"/>
          </w:tcPr>
          <w:p w:rsidR="00782DAD" w:rsidRPr="006E4855" w:rsidRDefault="007251E0" w:rsidP="006E4855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782DAD" w:rsidRDefault="00782DAD" w:rsidP="00B00F57">
            <w:pPr>
              <w:pStyle w:val="Paragrafoelenco"/>
              <w:ind w:left="0" w:right="176"/>
              <w:jc w:val="both"/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 w:rsidP="00B00F57">
            <w:pPr>
              <w:jc w:val="both"/>
            </w:pPr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561C6" w:rsidRDefault="00EF217B" w:rsidP="00EF217B">
            <w:pPr>
              <w:pStyle w:val="Paragrafoelenco"/>
              <w:ind w:left="0" w:right="176"/>
            </w:pPr>
            <w:r>
              <w:t>Decisione collegiale del Consiglio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 w:rsidP="00B00F57">
            <w:pPr>
              <w:jc w:val="both"/>
            </w:pPr>
          </w:p>
        </w:tc>
        <w:tc>
          <w:tcPr>
            <w:tcW w:w="1843" w:type="dxa"/>
            <w:shd w:val="clear" w:color="auto" w:fill="92D050"/>
          </w:tcPr>
          <w:p w:rsidR="00965C19" w:rsidRPr="006E4855" w:rsidRDefault="00965C19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:rsidR="00965C19" w:rsidRDefault="00965C19" w:rsidP="00EF217B">
            <w:pPr>
              <w:ind w:left="175"/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B00F57">
            <w:pPr>
              <w:jc w:val="both"/>
            </w:pPr>
            <w:r>
              <w:t>Mancanza di livello qualitativo coerente con l’esigenza manifestata</w:t>
            </w:r>
            <w:r w:rsidR="00B00F57">
              <w:t xml:space="preserve"> per favorire l’affidamento</w:t>
            </w:r>
          </w:p>
          <w:p w:rsidR="006E51DB" w:rsidRDefault="006E51DB" w:rsidP="00B00F57">
            <w:pPr>
              <w:jc w:val="both"/>
            </w:pPr>
          </w:p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 w:val="restart"/>
          </w:tcPr>
          <w:p w:rsidR="006374A8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550838" w:rsidRDefault="00550838" w:rsidP="00550838">
            <w:pPr>
              <w:pStyle w:val="Paragrafoelenco"/>
              <w:ind w:left="0" w:right="176"/>
              <w:jc w:val="both"/>
            </w:pPr>
            <w:r>
              <w:t>Rispetto dello specifico Regolamento interno dell’Ordine.</w:t>
            </w:r>
          </w:p>
          <w:p w:rsidR="006E51DB" w:rsidRDefault="00B00F57" w:rsidP="00B00F57">
            <w:pPr>
              <w:pStyle w:val="Paragrafoelenco"/>
              <w:ind w:left="0" w:right="176"/>
              <w:jc w:val="both"/>
            </w:pPr>
            <w:r>
              <w:t>Definizione chiara ed inequivocabile dell’oggetto dell’affidamento in modo da consentire una corretta valutazione comparativa delle proposte economiche ricevute.</w:t>
            </w:r>
          </w:p>
          <w:p w:rsidR="00B00F57" w:rsidRPr="00B00F57" w:rsidRDefault="00B00F57" w:rsidP="00B00F57">
            <w:pPr>
              <w:pStyle w:val="Paragrafoelenco"/>
              <w:ind w:left="0" w:right="176"/>
              <w:jc w:val="both"/>
            </w:pPr>
            <w:r>
              <w:t>Definizione precisa dei requisiti di qualificazione alla presentazione delle offerte e delle modalità di aggiudicazione.</w:t>
            </w:r>
            <w:r w:rsidR="008245D2">
              <w:t xml:space="preserve"> </w:t>
            </w:r>
            <w:r>
              <w:t>Decisione collegiale del</w:t>
            </w:r>
            <w:r w:rsidR="008245D2">
              <w:t xml:space="preserve"> Consiglio</w:t>
            </w: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/>
          </w:tcPr>
          <w:p w:rsidR="006374A8" w:rsidRPr="006E4855" w:rsidRDefault="006374A8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374A8" w:rsidRDefault="006374A8" w:rsidP="00B00F57">
            <w:pPr>
              <w:ind w:right="176"/>
              <w:jc w:val="both"/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/>
          </w:tcPr>
          <w:p w:rsidR="006374A8" w:rsidRPr="006E4855" w:rsidRDefault="006374A8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374A8" w:rsidRDefault="006374A8" w:rsidP="00B00F57">
            <w:pPr>
              <w:ind w:right="176"/>
              <w:jc w:val="both"/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/>
          </w:tcPr>
          <w:p w:rsidR="006374A8" w:rsidRPr="006E4855" w:rsidRDefault="006374A8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374A8" w:rsidRDefault="006374A8" w:rsidP="00B00F57">
            <w:pPr>
              <w:ind w:right="176"/>
              <w:jc w:val="both"/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/>
          </w:tcPr>
          <w:p w:rsidR="006374A8" w:rsidRPr="006E4855" w:rsidRDefault="006374A8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374A8" w:rsidRDefault="006374A8" w:rsidP="00B00F57">
            <w:pPr>
              <w:ind w:right="176"/>
              <w:jc w:val="both"/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 w:rsidP="00B00F57">
            <w:pPr>
              <w:jc w:val="both"/>
            </w:pPr>
          </w:p>
        </w:tc>
        <w:tc>
          <w:tcPr>
            <w:tcW w:w="1843" w:type="dxa"/>
            <w:vMerge/>
          </w:tcPr>
          <w:p w:rsidR="006374A8" w:rsidRPr="006E4855" w:rsidRDefault="006374A8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374A8" w:rsidRDefault="006374A8" w:rsidP="00B00F57">
            <w:pPr>
              <w:ind w:right="176"/>
              <w:jc w:val="both"/>
            </w:pPr>
          </w:p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t>Affidamenti diretti</w:t>
            </w:r>
          </w:p>
        </w:tc>
        <w:tc>
          <w:tcPr>
            <w:tcW w:w="3402" w:type="dxa"/>
          </w:tcPr>
          <w:p w:rsidR="006E51DB" w:rsidRDefault="006E51DB" w:rsidP="00B00F57">
            <w:pPr>
              <w:jc w:val="both"/>
            </w:pPr>
            <w:r>
              <w:t>Mancanza di livello qualitativo coerente con l’esigenza manifestata</w:t>
            </w:r>
            <w:r w:rsidR="00B00F57">
              <w:t xml:space="preserve"> per favorire l’affidamento</w:t>
            </w:r>
          </w:p>
          <w:p w:rsidR="006E51DB" w:rsidRDefault="006E51DB" w:rsidP="00B00F57">
            <w:pPr>
              <w:jc w:val="both"/>
            </w:pPr>
          </w:p>
          <w:p w:rsidR="00965C19" w:rsidRDefault="00965C19" w:rsidP="00B00F57">
            <w:pPr>
              <w:jc w:val="both"/>
            </w:pPr>
          </w:p>
        </w:tc>
        <w:tc>
          <w:tcPr>
            <w:tcW w:w="1843" w:type="dxa"/>
          </w:tcPr>
          <w:p w:rsidR="00965C19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:rsidR="00550838" w:rsidRDefault="00550838" w:rsidP="00550838">
            <w:pPr>
              <w:pStyle w:val="Paragrafoelenco"/>
              <w:ind w:left="0" w:right="176"/>
              <w:jc w:val="both"/>
            </w:pPr>
            <w:r>
              <w:t>Rispetto dello specifico Regolamento interno dell’Ordine.</w:t>
            </w:r>
          </w:p>
          <w:p w:rsidR="006E51DB" w:rsidRDefault="00B00F57" w:rsidP="00B00F57">
            <w:pPr>
              <w:pStyle w:val="Paragrafoelenco"/>
              <w:ind w:left="0" w:right="176"/>
              <w:jc w:val="both"/>
            </w:pPr>
            <w:r>
              <w:t>Controllo dei termini dell’offerta; verifica della coerenza con i parametri di mercato; valutazione modalità di pagamento.</w:t>
            </w:r>
          </w:p>
          <w:p w:rsidR="00B00F57" w:rsidRDefault="00B00F57" w:rsidP="00B00F57">
            <w:pPr>
              <w:pStyle w:val="Paragrafoelenco"/>
              <w:ind w:left="0" w:right="176"/>
              <w:jc w:val="both"/>
            </w:pPr>
            <w:r>
              <w:lastRenderedPageBreak/>
              <w:t>Decisione collegiale del</w:t>
            </w:r>
            <w:r w:rsidR="000B3FA0">
              <w:t xml:space="preserve"> Consiglio</w:t>
            </w: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Pr="006E4855" w:rsidRDefault="00EF4B87" w:rsidP="00EF217B">
            <w:pPr>
              <w:ind w:left="175"/>
              <w:jc w:val="center"/>
              <w:rPr>
                <w:b/>
              </w:rPr>
            </w:pPr>
          </w:p>
          <w:p w:rsidR="00EF4B87" w:rsidRPr="006E4855" w:rsidRDefault="00EF4B87" w:rsidP="00EF217B">
            <w:pPr>
              <w:ind w:left="175"/>
              <w:jc w:val="center"/>
              <w:rPr>
                <w:b/>
              </w:rPr>
            </w:pPr>
          </w:p>
          <w:p w:rsidR="00EF4B87" w:rsidRPr="006E4855" w:rsidRDefault="00EF4B87" w:rsidP="00EF217B">
            <w:pPr>
              <w:ind w:left="175"/>
              <w:jc w:val="center"/>
              <w:rPr>
                <w:b/>
              </w:rPr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550838" w:rsidRDefault="00550838" w:rsidP="00550838">
            <w:pPr>
              <w:pStyle w:val="Paragrafoelenco"/>
              <w:ind w:left="0" w:right="176"/>
              <w:jc w:val="both"/>
            </w:pPr>
            <w:r>
              <w:t xml:space="preserve">Rispetto dello specifico Regolamento interno dell’Ordine. </w:t>
            </w:r>
          </w:p>
          <w:p w:rsidR="003C6629" w:rsidRDefault="00061A46" w:rsidP="00061A46">
            <w:pPr>
              <w:pStyle w:val="Paragrafoelenco"/>
              <w:ind w:left="33" w:right="176"/>
              <w:jc w:val="both"/>
            </w:pPr>
            <w:r>
              <w:t>Valutazione delle competenza e professionalità del Consulente ad opera del Consiglio dell’Ordine.</w:t>
            </w:r>
          </w:p>
          <w:p w:rsidR="00061A46" w:rsidRDefault="00061A46" w:rsidP="00061A46">
            <w:pPr>
              <w:pStyle w:val="Paragrafoelenco"/>
              <w:ind w:left="0" w:right="176"/>
              <w:jc w:val="both"/>
            </w:pPr>
            <w:r>
              <w:t>Controllo dei termini dell’offerta; verifica della coerenza con i parametri di mercato; valutazi</w:t>
            </w:r>
            <w:r w:rsidR="000B3FA0">
              <w:t>one modalità di pagamento</w:t>
            </w:r>
          </w:p>
          <w:p w:rsidR="00061A46" w:rsidRDefault="00061A46" w:rsidP="00061A46">
            <w:pPr>
              <w:pStyle w:val="Paragrafoelenco"/>
              <w:ind w:left="33" w:right="176"/>
              <w:jc w:val="both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Pr="006E4855" w:rsidRDefault="00EF4B87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EF4B87" w:rsidRDefault="00EF4B87" w:rsidP="00EF217B">
            <w:pPr>
              <w:ind w:left="175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Pr="006E4855" w:rsidRDefault="00EF4B87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EF4B87" w:rsidRDefault="00EF4B87" w:rsidP="00EF217B">
            <w:pPr>
              <w:ind w:left="175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Pr="006E4855" w:rsidRDefault="00EF4B87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EF4B87" w:rsidRDefault="00EF4B87" w:rsidP="00EF217B">
            <w:pPr>
              <w:ind w:left="175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Pr="006E4855" w:rsidRDefault="00EF4B87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EF4B87" w:rsidRDefault="00EF4B87" w:rsidP="00EF217B">
            <w:pPr>
              <w:ind w:left="175"/>
            </w:pPr>
          </w:p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Pr="006E4855" w:rsidRDefault="003C6629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FFFF00"/>
          </w:tcPr>
          <w:p w:rsidR="003C6629" w:rsidRDefault="003C6629" w:rsidP="00EF217B">
            <w:pPr>
              <w:ind w:left="175"/>
            </w:pP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6E4855" w:rsidRDefault="006E4855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763BFF" w:rsidP="00763BFF">
            <w:pPr>
              <w:ind w:right="176"/>
              <w:jc w:val="both"/>
            </w:pPr>
            <w:r>
              <w:t>Osservanza della normativa in materia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6E4855" w:rsidRDefault="006E4855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763BFF" w:rsidP="00763BFF">
            <w:pPr>
              <w:ind w:right="176"/>
              <w:jc w:val="both"/>
            </w:pPr>
            <w:r>
              <w:t>Osservanza della normativa in materia</w:t>
            </w: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6E4855" w:rsidRDefault="006E4855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733717" w:rsidRDefault="00763BFF" w:rsidP="00763BFF">
            <w:pPr>
              <w:pStyle w:val="Paragrafoelenco"/>
              <w:ind w:left="0" w:right="176"/>
              <w:jc w:val="both"/>
            </w:pPr>
            <w:r>
              <w:t>Osservanza del Regolamento di formazione e delle linee guida</w:t>
            </w:r>
            <w:r w:rsidR="00BD2B59">
              <w:t xml:space="preserve"> e del Nuovo Testo Unico</w:t>
            </w:r>
          </w:p>
        </w:tc>
      </w:tr>
    </w:tbl>
    <w:p w:rsidR="00295E5C" w:rsidRDefault="00295E5C"/>
    <w:p w:rsidR="00295E5C" w:rsidRDefault="00295E5C">
      <w:r>
        <w:br w:type="page"/>
      </w:r>
    </w:p>
    <w:p w:rsidR="00295E5C" w:rsidRDefault="00295E5C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Pr="006E4855" w:rsidRDefault="00E103A5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E103A5" w:rsidRDefault="00E103A5" w:rsidP="00EF217B">
            <w:pPr>
              <w:ind w:left="175"/>
            </w:pP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DD1241" w:rsidRDefault="00295E5C" w:rsidP="005E3678">
            <w:pPr>
              <w:tabs>
                <w:tab w:val="left" w:pos="5278"/>
              </w:tabs>
              <w:ind w:left="33"/>
              <w:jc w:val="both"/>
            </w:pPr>
            <w:r>
              <w:t>Affidamenti nel rispetto del Regolamento interno dell’O</w:t>
            </w:r>
            <w:r w:rsidR="00E807E3">
              <w:t>rdine</w:t>
            </w:r>
          </w:p>
          <w:p w:rsidR="00295E5C" w:rsidRDefault="00295E5C" w:rsidP="005E3678">
            <w:pPr>
              <w:tabs>
                <w:tab w:val="left" w:pos="5278"/>
              </w:tabs>
              <w:ind w:left="33"/>
              <w:jc w:val="both"/>
            </w:pPr>
            <w:r>
              <w:t>Decisione collegiale del</w:t>
            </w:r>
            <w:r w:rsidR="00E807E3">
              <w:t xml:space="preserve"> Consiglio</w:t>
            </w:r>
            <w:r w:rsidR="000B3FA0">
              <w:t>.</w:t>
            </w:r>
          </w:p>
          <w:p w:rsidR="000B3FA0" w:rsidRDefault="000B3FA0" w:rsidP="005E3678">
            <w:pPr>
              <w:tabs>
                <w:tab w:val="left" w:pos="5278"/>
              </w:tabs>
              <w:ind w:left="33"/>
              <w:jc w:val="both"/>
            </w:pPr>
            <w:r>
              <w:t>Disamina dei C.V dei potenziali soggetti per verificare la competenza e professionalità in relazione all’area tematica proposta.</w:t>
            </w:r>
          </w:p>
          <w:p w:rsidR="000B3FA0" w:rsidRDefault="000B3FA0" w:rsidP="005E3678">
            <w:pPr>
              <w:tabs>
                <w:tab w:val="left" w:pos="5278"/>
              </w:tabs>
              <w:ind w:left="33"/>
              <w:jc w:val="both"/>
            </w:pPr>
            <w:r>
              <w:t>Decisione collegiale di Consiglio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Pr="006E4855" w:rsidRDefault="00A3009A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A3009A" w:rsidRDefault="00A3009A" w:rsidP="00EF217B">
            <w:pPr>
              <w:ind w:left="175"/>
            </w:pP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Pr="006E4855" w:rsidRDefault="00A3009A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A3009A" w:rsidRDefault="00A3009A" w:rsidP="00EF217B">
            <w:pPr>
              <w:ind w:left="175"/>
            </w:pP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incompatibilità/inconferibilità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Pr="006E4855" w:rsidRDefault="00A3009A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A3009A" w:rsidRDefault="00A3009A" w:rsidP="00EF217B">
            <w:pPr>
              <w:ind w:left="175"/>
            </w:pP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Pr="006E4855" w:rsidRDefault="00A3009A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A3009A" w:rsidRDefault="00A3009A" w:rsidP="00EF217B">
            <w:pPr>
              <w:ind w:left="175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Pr="006E4855" w:rsidRDefault="00A3009A" w:rsidP="006E485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3009A" w:rsidRDefault="00A3009A" w:rsidP="005E3678">
            <w:pPr>
              <w:ind w:left="33" w:right="34"/>
              <w:jc w:val="both"/>
            </w:pPr>
          </w:p>
        </w:tc>
      </w:tr>
      <w:tr w:rsidR="006E4855" w:rsidTr="00E004C4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6E4855" w:rsidRDefault="006E4855" w:rsidP="00E004C4">
            <w:r>
              <w:t>Opinamento parcelle</w:t>
            </w:r>
            <w:r w:rsidR="000B3FA0">
              <w:t xml:space="preserve"> (provvedimento amministrativo)</w:t>
            </w:r>
          </w:p>
        </w:tc>
        <w:tc>
          <w:tcPr>
            <w:tcW w:w="3402" w:type="dxa"/>
          </w:tcPr>
          <w:p w:rsidR="006E4855" w:rsidRPr="008021E8" w:rsidRDefault="006E4855" w:rsidP="00E004C4">
            <w:r>
              <w:t>Inappropriato procedimento per l’opinamento di parcelle</w:t>
            </w:r>
            <w:r w:rsidR="00E807E3">
              <w:t xml:space="preserve"> per favorire l’interesse del professionista</w:t>
            </w:r>
          </w:p>
        </w:tc>
        <w:tc>
          <w:tcPr>
            <w:tcW w:w="1843" w:type="dxa"/>
          </w:tcPr>
          <w:p w:rsidR="006E4855" w:rsidRPr="006E4855" w:rsidRDefault="008A5502" w:rsidP="00E004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E807E3" w:rsidRDefault="00550838" w:rsidP="00E807E3">
            <w:pPr>
              <w:pStyle w:val="Paragrafoelenco"/>
              <w:ind w:left="0" w:right="176"/>
              <w:jc w:val="both"/>
            </w:pPr>
            <w:r>
              <w:t>R</w:t>
            </w:r>
            <w:r w:rsidR="00E807E3">
              <w:t>ispetto dello specifico Regolamento</w:t>
            </w:r>
            <w:r w:rsidR="000B3FA0">
              <w:t>.</w:t>
            </w:r>
          </w:p>
          <w:p w:rsidR="00E807E3" w:rsidRDefault="00E807E3" w:rsidP="00E807E3">
            <w:pPr>
              <w:pStyle w:val="Paragrafoelenco"/>
              <w:ind w:left="0" w:right="176"/>
              <w:jc w:val="both"/>
            </w:pPr>
            <w:r>
              <w:t>Rotazione dei soggetti incaricati della istruzione delle domande nei limiti delle disponibilità dei componenti della Commissione incaricata</w:t>
            </w:r>
            <w:r w:rsidR="000B3FA0">
              <w:t>.</w:t>
            </w:r>
          </w:p>
          <w:p w:rsidR="006E4855" w:rsidRDefault="00E807E3" w:rsidP="001876C5">
            <w:pPr>
              <w:pStyle w:val="Paragrafoelenco"/>
              <w:ind w:left="0" w:right="176"/>
              <w:jc w:val="both"/>
            </w:pPr>
            <w:r>
              <w:t>Archiviazione org</w:t>
            </w:r>
            <w:r w:rsidR="008245D2">
              <w:t>anizzata delle richieste per di</w:t>
            </w:r>
            <w:r>
              <w:t>sporre di parametri di confronto e consentirne una rapida consultazione a necessità per la trattazione di casi similari</w:t>
            </w: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Partnership con 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6E4855" w:rsidRDefault="008A5502" w:rsidP="006E4855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F80860" w:rsidRDefault="00F80860" w:rsidP="004E2EBA">
            <w:pPr>
              <w:pStyle w:val="Paragrafoelenco"/>
              <w:ind w:left="33" w:right="176"/>
              <w:jc w:val="both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6E4855" w:rsidRDefault="006E4855" w:rsidP="006E48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80860" w:rsidRDefault="001876C5" w:rsidP="000B3FA0">
            <w:pPr>
              <w:pStyle w:val="Paragrafoelenco"/>
              <w:ind w:left="33" w:right="176"/>
              <w:jc w:val="both"/>
            </w:pPr>
            <w:r>
              <w:t xml:space="preserve">Controllo su data base pubblicato sul sito del Consiglio Nazionale </w:t>
            </w:r>
            <w:hyperlink r:id="rId7" w:history="1">
              <w:r w:rsidRPr="003738ED">
                <w:rPr>
                  <w:rStyle w:val="Collegamentoipertestuale"/>
                </w:rPr>
                <w:t>www.formazionecni.it</w:t>
              </w:r>
            </w:hyperlink>
            <w:r>
              <w:t xml:space="preserve"> dell’elenco dei provider autorizzati </w:t>
            </w:r>
          </w:p>
        </w:tc>
      </w:tr>
      <w:tr w:rsidR="00396BBC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Pr="00396BBC" w:rsidRDefault="00396BBC" w:rsidP="00A3009A">
            <w:r w:rsidRPr="00396BBC">
              <w:t>Erogazione di attività di formazione da parte di Fondazioni connesse/collegate all’Ordine</w:t>
            </w:r>
          </w:p>
        </w:tc>
        <w:tc>
          <w:tcPr>
            <w:tcW w:w="3402" w:type="dxa"/>
          </w:tcPr>
          <w:p w:rsidR="00396BBC" w:rsidRPr="00F80860" w:rsidRDefault="00396BBC" w:rsidP="00A3009A">
            <w:r w:rsidRPr="00396BBC">
              <w:t>Processo di gestione delle attività formative, avuto riguardo alla strutturazione didattica, ai costi, al rispetto delle Linee Guida</w:t>
            </w:r>
          </w:p>
        </w:tc>
        <w:tc>
          <w:tcPr>
            <w:tcW w:w="1843" w:type="dxa"/>
          </w:tcPr>
          <w:p w:rsidR="00396BBC" w:rsidRPr="006E4855" w:rsidRDefault="006E4855" w:rsidP="006E4855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396BBC" w:rsidRDefault="008B4B8A" w:rsidP="008B4B8A">
            <w:pPr>
              <w:pStyle w:val="Paragrafoelenco"/>
              <w:ind w:left="33" w:right="176"/>
              <w:jc w:val="center"/>
            </w:pPr>
            <w:r>
              <w:t>//</w:t>
            </w:r>
          </w:p>
        </w:tc>
      </w:tr>
      <w:tr w:rsidR="00861AC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lastRenderedPageBreak/>
              <w:t>Erogazione in proprio di attività di formazione non a pagamento per gli iscritti</w:t>
            </w:r>
          </w:p>
        </w:tc>
        <w:tc>
          <w:tcPr>
            <w:tcW w:w="3402" w:type="dxa"/>
          </w:tcPr>
          <w:p w:rsidR="00861ACF" w:rsidRDefault="00861ACF" w:rsidP="00861ACF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2EBA" w:rsidRDefault="004E2EBA" w:rsidP="004E2EBA">
            <w:pPr>
              <w:pStyle w:val="Paragrafoelenco"/>
              <w:ind w:left="33" w:right="176"/>
              <w:jc w:val="both"/>
            </w:pPr>
            <w:r>
              <w:t>Rispetto del Regolamento per la formazio</w:t>
            </w:r>
            <w:r w:rsidR="001876C5">
              <w:t>ne e delle relative Linee guida e del Nuovo Testo Unico</w:t>
            </w:r>
            <w:r w:rsidR="00BD2B59">
              <w:t>.</w:t>
            </w:r>
          </w:p>
          <w:p w:rsidR="004E2EBA" w:rsidRDefault="004E2EBA" w:rsidP="004E2EBA">
            <w:pPr>
              <w:pStyle w:val="Paragrafoelenco"/>
              <w:ind w:left="33" w:right="176"/>
              <w:jc w:val="both"/>
            </w:pPr>
            <w:r>
              <w:t>Pubblicazione sul sito dell’evento formativo con indicazione del programma, dei relatori, dell’eventuale sponsor e dello spazio riservato e con chiara indicazione delle condizioni per il rilascio dei CFP.</w:t>
            </w:r>
          </w:p>
        </w:tc>
      </w:tr>
      <w:tr w:rsidR="00861AC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 w:rsidRPr="003E1366">
              <w:t>Erogazione in proprio di attività di formazione</w:t>
            </w:r>
            <w:r>
              <w:t xml:space="preserve"> a pagamento per gli iscritti</w:t>
            </w:r>
          </w:p>
        </w:tc>
        <w:tc>
          <w:tcPr>
            <w:tcW w:w="3402" w:type="dxa"/>
          </w:tcPr>
          <w:p w:rsidR="00861ACF" w:rsidRDefault="00861ACF" w:rsidP="00861ACF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861ACF" w:rsidRDefault="00861ACF" w:rsidP="00861ACF"/>
          <w:p w:rsidR="00861ACF" w:rsidRDefault="00861ACF" w:rsidP="00861ACF"/>
          <w:p w:rsidR="00861ACF" w:rsidRDefault="00861ACF" w:rsidP="00861ACF"/>
          <w:p w:rsidR="00861ACF" w:rsidRDefault="00861ACF" w:rsidP="00861ACF">
            <w:r>
              <w:t>Processo di formazione del prezzo dell’evento formativo</w:t>
            </w:r>
          </w:p>
          <w:p w:rsidR="00861ACF" w:rsidRPr="007378BC" w:rsidRDefault="00861ACF" w:rsidP="00861AC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2EBA" w:rsidRDefault="004E2EBA" w:rsidP="004E2EBA">
            <w:pPr>
              <w:pStyle w:val="Paragrafoelenco"/>
              <w:ind w:left="33" w:right="176"/>
              <w:jc w:val="both"/>
            </w:pPr>
            <w:r>
              <w:t>Rispetto del Regolamento per la formazione e delle relative Linee guida</w:t>
            </w:r>
            <w:r w:rsidR="00BD2B59">
              <w:t xml:space="preserve"> e del Nuovo Testo Unico</w:t>
            </w:r>
            <w:r>
              <w:t>.</w:t>
            </w:r>
          </w:p>
          <w:p w:rsidR="00861ACF" w:rsidRDefault="00D813E5" w:rsidP="004E2EBA">
            <w:pPr>
              <w:pStyle w:val="Paragrafoelenco"/>
              <w:ind w:left="33" w:right="176"/>
              <w:jc w:val="both"/>
            </w:pPr>
            <w:r>
              <w:t>Attenta v</w:t>
            </w:r>
            <w:r w:rsidR="008B4B8A">
              <w:t xml:space="preserve">alutazione del Consiglio </w:t>
            </w:r>
            <w:r w:rsidR="004E2EBA">
              <w:t>dei costi da sostenere</w:t>
            </w:r>
            <w:r>
              <w:t>, delle entrate presunte</w:t>
            </w:r>
            <w:r w:rsidR="004E2EBA">
              <w:t xml:space="preserve"> e </w:t>
            </w:r>
            <w:r w:rsidR="008B4B8A">
              <w:t>del bilancio preventivo</w:t>
            </w:r>
            <w:r>
              <w:t>.</w:t>
            </w:r>
          </w:p>
          <w:p w:rsidR="00D813E5" w:rsidRDefault="00D813E5" w:rsidP="00D813E5">
            <w:pPr>
              <w:pStyle w:val="Paragrafoelenco"/>
              <w:ind w:left="33" w:right="176"/>
              <w:jc w:val="both"/>
            </w:pPr>
            <w:r>
              <w:t>Pubblicazione sul sito dell’evento formativo con indicazione del programma, dei relatori e con chiara indicazione delle condizioni per il rilascio dei CFP.</w:t>
            </w:r>
          </w:p>
        </w:tc>
      </w:tr>
      <w:tr w:rsidR="00861AC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Organizzazione del Congresso annuale</w:t>
            </w:r>
          </w:p>
        </w:tc>
        <w:tc>
          <w:tcPr>
            <w:tcW w:w="3402" w:type="dxa"/>
          </w:tcPr>
          <w:p w:rsidR="00861ACF" w:rsidRDefault="00861ACF" w:rsidP="00861ACF">
            <w:r w:rsidRPr="00256060">
              <w:t xml:space="preserve">Processo di </w:t>
            </w:r>
            <w:r>
              <w:t>valutazione costi</w:t>
            </w:r>
          </w:p>
          <w:p w:rsidR="00861ACF" w:rsidRDefault="00861ACF" w:rsidP="00861ACF"/>
          <w:p w:rsidR="00861ACF" w:rsidRDefault="00861ACF" w:rsidP="00861ACF"/>
          <w:p w:rsidR="00861ACF" w:rsidRPr="00256060" w:rsidRDefault="00861ACF" w:rsidP="00861ACF">
            <w:r>
              <w:t>Processo di individuazione di eventuali provider di servizi esterni</w:t>
            </w:r>
          </w:p>
        </w:tc>
        <w:tc>
          <w:tcPr>
            <w:tcW w:w="1843" w:type="dxa"/>
          </w:tcPr>
          <w:p w:rsidR="00861ACF" w:rsidRPr="006E4855" w:rsidRDefault="00861ACF" w:rsidP="00861AC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861ACF" w:rsidRDefault="00861ACF" w:rsidP="00861ACF">
            <w:pPr>
              <w:ind w:left="33" w:right="176"/>
              <w:jc w:val="center"/>
            </w:pPr>
            <w:r>
              <w:t>//</w:t>
            </w:r>
          </w:p>
        </w:tc>
      </w:tr>
      <w:tr w:rsidR="00861AC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861ACF" w:rsidRPr="00AA05F2" w:rsidRDefault="00861ACF" w:rsidP="00861ACF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861ACF" w:rsidRPr="006E4855" w:rsidRDefault="00861ACF" w:rsidP="00861AC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center"/>
            </w:pPr>
            <w:r>
              <w:t>//</w:t>
            </w:r>
          </w:p>
        </w:tc>
      </w:tr>
      <w:tr w:rsidR="00861AC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861ACF" w:rsidRPr="00AA05F2" w:rsidRDefault="00861ACF" w:rsidP="00861ACF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861ACF" w:rsidRPr="00974B0B" w:rsidRDefault="00861ACF" w:rsidP="00861A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BD2B59" w:rsidP="00BD2B59">
            <w:pPr>
              <w:pStyle w:val="Paragrafoelenco"/>
              <w:ind w:left="33" w:right="176"/>
            </w:pPr>
            <w:r>
              <w:t xml:space="preserve">Valutazione collegiale del Consiglio sulla base del bilancio preventivo </w:t>
            </w: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Pr="00720C41" w:rsidRDefault="00861ACF" w:rsidP="00861ACF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861ACF" w:rsidRDefault="00861ACF" w:rsidP="00861ACF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861ACF" w:rsidRPr="006E4855" w:rsidRDefault="00861ACF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  <w:r>
              <w:t>Valutazione del Consiglio sulla base del bilancio preventivo</w:t>
            </w: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Concessione di Patrocinio ad eventi di soggetti terzi</w:t>
            </w:r>
          </w:p>
        </w:tc>
        <w:tc>
          <w:tcPr>
            <w:tcW w:w="3402" w:type="dxa"/>
          </w:tcPr>
          <w:p w:rsidR="00861ACF" w:rsidRDefault="00861ACF" w:rsidP="00861ACF">
            <w:r>
              <w:t>Processo di concessione di patrocinio</w:t>
            </w:r>
          </w:p>
          <w:p w:rsidR="008A5502" w:rsidRPr="00974B0B" w:rsidRDefault="008A5502" w:rsidP="00861ACF"/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861ACF" w:rsidRDefault="00861ACF" w:rsidP="00861ACF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861ACF" w:rsidRPr="006E4855" w:rsidRDefault="00861ACF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BD2B59" w:rsidP="00861ACF">
            <w:pPr>
              <w:pStyle w:val="Paragrafoelenco"/>
              <w:ind w:left="33" w:right="176"/>
              <w:jc w:val="both"/>
            </w:pPr>
            <w:r>
              <w:t>Relazione delle</w:t>
            </w:r>
            <w:r w:rsidR="00861ACF">
              <w:t xml:space="preserve"> attività in sede di Consiglio</w:t>
            </w: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861ACF" w:rsidRDefault="00861ACF" w:rsidP="00861ACF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861ACF" w:rsidRPr="00961A0B" w:rsidRDefault="00861ACF" w:rsidP="00861A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  <w:r>
              <w:t>Valutazione del Consiglio sulla base del bilancio preventivo</w:t>
            </w: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Rimborsi spese</w:t>
            </w:r>
          </w:p>
          <w:p w:rsidR="00861ACF" w:rsidRDefault="00861ACF" w:rsidP="00861ACF">
            <w:r>
              <w:t>A Consiglieri</w:t>
            </w:r>
          </w:p>
          <w:p w:rsidR="00861ACF" w:rsidRDefault="00861ACF" w:rsidP="00861ACF">
            <w:r>
              <w:t>A personale</w:t>
            </w:r>
          </w:p>
        </w:tc>
        <w:tc>
          <w:tcPr>
            <w:tcW w:w="3402" w:type="dxa"/>
          </w:tcPr>
          <w:p w:rsidR="00861ACF" w:rsidRDefault="00861ACF" w:rsidP="00861ACF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861ACF" w:rsidRPr="006E4855" w:rsidRDefault="00861ACF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  <w:r>
              <w:t>Valutazione del Presidente e del Tesoriere circa la coerenza della spesa con quanto normato nel Regolamento interno dell’Ordine (previa preliminare autorizzazione alla missione/attività)</w:t>
            </w: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 w:rsidRPr="00733717">
              <w:t>Individuazione professionisti per lo svolgimento di incarichi su richiesta di terzi</w:t>
            </w:r>
          </w:p>
        </w:tc>
        <w:tc>
          <w:tcPr>
            <w:tcW w:w="3402" w:type="dxa"/>
          </w:tcPr>
          <w:p w:rsidR="00861ACF" w:rsidRDefault="00861ACF" w:rsidP="00861ACF">
            <w:r>
              <w:t>Utilizzo di criteri di selezione inappropriati oppure non trasparenti, in violazione dei principi di terzietà, imparzialità e concorrenza</w:t>
            </w:r>
          </w:p>
          <w:p w:rsidR="00861ACF" w:rsidRDefault="00861ACF" w:rsidP="00861ACF"/>
          <w:p w:rsidR="00861ACF" w:rsidRDefault="00861ACF" w:rsidP="00861ACF"/>
          <w:p w:rsidR="00861ACF" w:rsidRDefault="00861ACF" w:rsidP="00861ACF">
            <w:r>
              <w:t>Mancata turnazione dei professionisti individuati</w:t>
            </w:r>
          </w:p>
          <w:p w:rsidR="00861ACF" w:rsidRDefault="00861ACF" w:rsidP="00861ACF"/>
          <w:p w:rsidR="00861ACF" w:rsidRPr="00A0748A" w:rsidRDefault="00861ACF" w:rsidP="00861ACF">
            <w:r>
              <w:t>Mancata trasparenza su possibili compensi</w:t>
            </w:r>
          </w:p>
        </w:tc>
        <w:tc>
          <w:tcPr>
            <w:tcW w:w="1843" w:type="dxa"/>
          </w:tcPr>
          <w:p w:rsidR="00861ACF" w:rsidRPr="006E4855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0" w:right="176"/>
              <w:jc w:val="both"/>
            </w:pPr>
            <w:r>
              <w:t>Rispetto dello specifico Regolamento interno dell’Ordine e comunque:</w:t>
            </w:r>
          </w:p>
          <w:p w:rsidR="00861ACF" w:rsidRDefault="00BD2B59" w:rsidP="00861ACF">
            <w:pPr>
              <w:pStyle w:val="Paragrafoelenco"/>
              <w:ind w:left="0" w:right="176"/>
              <w:jc w:val="both"/>
            </w:pPr>
            <w:r>
              <w:t>-</w:t>
            </w:r>
            <w:r w:rsidR="00861ACF">
              <w:t>valutazioni collegiali con limitazioni ai soli casi di urgenza  delle designazioni dirette da parte del Presidente;</w:t>
            </w:r>
          </w:p>
          <w:p w:rsidR="00861ACF" w:rsidRDefault="00BD2B59" w:rsidP="00861ACF">
            <w:pPr>
              <w:pStyle w:val="Paragrafoelenco"/>
              <w:ind w:left="0" w:right="176"/>
              <w:jc w:val="both"/>
            </w:pPr>
            <w:r>
              <w:t>-</w:t>
            </w:r>
            <w:r w:rsidR="00861ACF">
              <w:t>verifica insussistenza di situazioni, anche potenziali, di conflitto di interesse;</w:t>
            </w:r>
          </w:p>
          <w:p w:rsidR="00861ACF" w:rsidRDefault="00BD2B59" w:rsidP="00861ACF">
            <w:pPr>
              <w:pStyle w:val="Paragrafoelenco"/>
              <w:ind w:left="0" w:right="176"/>
              <w:jc w:val="both"/>
            </w:pPr>
            <w:r>
              <w:t>-</w:t>
            </w:r>
            <w:r w:rsidR="00861ACF">
              <w:t>rotazione, per quanto possibile;</w:t>
            </w:r>
          </w:p>
          <w:p w:rsidR="00861ACF" w:rsidRDefault="00BD2B59" w:rsidP="00861ACF">
            <w:pPr>
              <w:pStyle w:val="Paragrafoelenco"/>
              <w:ind w:left="0" w:right="176"/>
              <w:jc w:val="both"/>
            </w:pPr>
            <w:r>
              <w:t>-</w:t>
            </w:r>
            <w:r w:rsidR="00861ACF">
              <w:t>esclusione in linea generale dei componenti del Consiglio, salvo casi particolari adeguatamente motivati;</w:t>
            </w:r>
          </w:p>
          <w:p w:rsidR="00861ACF" w:rsidRDefault="00BD2B59" w:rsidP="00861ACF">
            <w:pPr>
              <w:pStyle w:val="Paragrafoelenco"/>
              <w:ind w:left="0" w:right="176"/>
              <w:jc w:val="both"/>
            </w:pPr>
            <w:r>
              <w:t>-</w:t>
            </w:r>
            <w:r w:rsidR="00861ACF">
              <w:t>trasparenza: pubblicazione dei nominativi designati sul sito;</w:t>
            </w:r>
          </w:p>
          <w:p w:rsidR="00861ACF" w:rsidRDefault="00861ACF" w:rsidP="00861ACF">
            <w:pPr>
              <w:pStyle w:val="Paragrafoelenco"/>
              <w:ind w:left="33" w:right="176"/>
              <w:jc w:val="both"/>
            </w:pPr>
          </w:p>
        </w:tc>
      </w:tr>
      <w:tr w:rsidR="00861ACF" w:rsidTr="00720C41">
        <w:tc>
          <w:tcPr>
            <w:tcW w:w="3681" w:type="dxa"/>
            <w:shd w:val="clear" w:color="auto" w:fill="F2F2F2" w:themeFill="background1" w:themeFillShade="F2"/>
          </w:tcPr>
          <w:p w:rsidR="00861ACF" w:rsidRDefault="00861ACF" w:rsidP="00861ACF">
            <w:r>
              <w:t>Procedimento elettorale</w:t>
            </w:r>
          </w:p>
        </w:tc>
        <w:tc>
          <w:tcPr>
            <w:tcW w:w="3402" w:type="dxa"/>
          </w:tcPr>
          <w:p w:rsidR="00861ACF" w:rsidRPr="00961A0B" w:rsidRDefault="00861ACF" w:rsidP="00861ACF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861ACF" w:rsidRDefault="008A5502" w:rsidP="00861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61ACF" w:rsidRDefault="00861ACF" w:rsidP="00861ACF">
            <w:pPr>
              <w:pStyle w:val="Paragrafoelenco"/>
              <w:ind w:left="33" w:right="176"/>
              <w:jc w:val="both"/>
            </w:pPr>
            <w:r>
              <w:t>Osservanza della normativa di legge</w:t>
            </w:r>
          </w:p>
        </w:tc>
      </w:tr>
    </w:tbl>
    <w:p w:rsidR="008332AE" w:rsidRDefault="008332AE"/>
    <w:sectPr w:rsidR="008332AE" w:rsidSect="00B745E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E"/>
    <w:rsid w:val="00011CFB"/>
    <w:rsid w:val="00061A46"/>
    <w:rsid w:val="000A4049"/>
    <w:rsid w:val="000B3FA0"/>
    <w:rsid w:val="000C1188"/>
    <w:rsid w:val="000C3946"/>
    <w:rsid w:val="000F5BCA"/>
    <w:rsid w:val="001044E8"/>
    <w:rsid w:val="001876C5"/>
    <w:rsid w:val="001C3ADE"/>
    <w:rsid w:val="00206A5C"/>
    <w:rsid w:val="00215031"/>
    <w:rsid w:val="0025302F"/>
    <w:rsid w:val="0025442F"/>
    <w:rsid w:val="00295E5C"/>
    <w:rsid w:val="002B1208"/>
    <w:rsid w:val="002C1D2B"/>
    <w:rsid w:val="00396BBC"/>
    <w:rsid w:val="003C34D6"/>
    <w:rsid w:val="003C6629"/>
    <w:rsid w:val="00423A6C"/>
    <w:rsid w:val="004E2EBA"/>
    <w:rsid w:val="00524D23"/>
    <w:rsid w:val="00540721"/>
    <w:rsid w:val="00550838"/>
    <w:rsid w:val="005E3678"/>
    <w:rsid w:val="005F0279"/>
    <w:rsid w:val="006374A8"/>
    <w:rsid w:val="00640525"/>
    <w:rsid w:val="00653A51"/>
    <w:rsid w:val="006C7F36"/>
    <w:rsid w:val="006E37E2"/>
    <w:rsid w:val="006E4855"/>
    <w:rsid w:val="006E51DB"/>
    <w:rsid w:val="00720C41"/>
    <w:rsid w:val="007251E0"/>
    <w:rsid w:val="00733717"/>
    <w:rsid w:val="00752F0D"/>
    <w:rsid w:val="00763BFF"/>
    <w:rsid w:val="00782DAD"/>
    <w:rsid w:val="008021E8"/>
    <w:rsid w:val="008245D2"/>
    <w:rsid w:val="00825C32"/>
    <w:rsid w:val="008332AE"/>
    <w:rsid w:val="00853605"/>
    <w:rsid w:val="00861ACF"/>
    <w:rsid w:val="00864F21"/>
    <w:rsid w:val="008813C9"/>
    <w:rsid w:val="008A5502"/>
    <w:rsid w:val="008A6059"/>
    <w:rsid w:val="008B4B8A"/>
    <w:rsid w:val="008B59D8"/>
    <w:rsid w:val="0090238F"/>
    <w:rsid w:val="00904498"/>
    <w:rsid w:val="00923728"/>
    <w:rsid w:val="00925208"/>
    <w:rsid w:val="009374FE"/>
    <w:rsid w:val="00965C19"/>
    <w:rsid w:val="00A0748A"/>
    <w:rsid w:val="00A277AA"/>
    <w:rsid w:val="00A3009A"/>
    <w:rsid w:val="00A67C6F"/>
    <w:rsid w:val="00A72B53"/>
    <w:rsid w:val="00AA0DF9"/>
    <w:rsid w:val="00AC2488"/>
    <w:rsid w:val="00AC5E45"/>
    <w:rsid w:val="00AF4480"/>
    <w:rsid w:val="00AF7F5D"/>
    <w:rsid w:val="00B00F57"/>
    <w:rsid w:val="00B112DB"/>
    <w:rsid w:val="00B12F64"/>
    <w:rsid w:val="00B561C6"/>
    <w:rsid w:val="00B57F14"/>
    <w:rsid w:val="00B745E7"/>
    <w:rsid w:val="00BA26D0"/>
    <w:rsid w:val="00BA7DB6"/>
    <w:rsid w:val="00BC25AF"/>
    <w:rsid w:val="00BD2B59"/>
    <w:rsid w:val="00BE601A"/>
    <w:rsid w:val="00C95D17"/>
    <w:rsid w:val="00CC4A3F"/>
    <w:rsid w:val="00CE1F61"/>
    <w:rsid w:val="00D813E5"/>
    <w:rsid w:val="00DC2AC2"/>
    <w:rsid w:val="00DD1241"/>
    <w:rsid w:val="00DD2443"/>
    <w:rsid w:val="00DD5528"/>
    <w:rsid w:val="00E103A5"/>
    <w:rsid w:val="00E25B48"/>
    <w:rsid w:val="00E262BF"/>
    <w:rsid w:val="00E36B2E"/>
    <w:rsid w:val="00E429D0"/>
    <w:rsid w:val="00E52E72"/>
    <w:rsid w:val="00E655FA"/>
    <w:rsid w:val="00E807E3"/>
    <w:rsid w:val="00E90F66"/>
    <w:rsid w:val="00EB3620"/>
    <w:rsid w:val="00ED792D"/>
    <w:rsid w:val="00EF0414"/>
    <w:rsid w:val="00EF217B"/>
    <w:rsid w:val="00EF4B87"/>
    <w:rsid w:val="00F100C5"/>
    <w:rsid w:val="00F61BB1"/>
    <w:rsid w:val="00F761AD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1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1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mazionec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1B01-7F8B-4872-81CC-CEF10E2B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Silvia</cp:lastModifiedBy>
  <cp:revision>29</cp:revision>
  <cp:lastPrinted>2019-01-31T10:29:00Z</cp:lastPrinted>
  <dcterms:created xsi:type="dcterms:W3CDTF">2016-12-27T07:20:00Z</dcterms:created>
  <dcterms:modified xsi:type="dcterms:W3CDTF">2020-01-27T10:19:00Z</dcterms:modified>
</cp:coreProperties>
</file>